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4C" w:rsidRDefault="00581D4C" w:rsidP="00581D4C">
      <w:pPr>
        <w:autoSpaceDE w:val="0"/>
        <w:autoSpaceDN w:val="0"/>
        <w:adjustRightInd w:val="0"/>
        <w:spacing w:line="240" w:lineRule="auto"/>
        <w:rPr>
          <w:rFonts w:ascii="ShowcardGothic-Reg" w:hAnsi="ShowcardGothic-Reg" w:cs="ShowcardGothic-Reg"/>
          <w:sz w:val="38"/>
          <w:szCs w:val="38"/>
        </w:rPr>
      </w:pPr>
      <w:proofErr w:type="spellStart"/>
      <w:r>
        <w:rPr>
          <w:rFonts w:ascii="ShowcardGothic-Reg" w:hAnsi="ShowcardGothic-Reg" w:cs="ShowcardGothic-Reg"/>
          <w:sz w:val="38"/>
          <w:szCs w:val="38"/>
        </w:rPr>
        <w:t>QtA</w:t>
      </w:r>
      <w:proofErr w:type="spellEnd"/>
      <w:r>
        <w:rPr>
          <w:rFonts w:ascii="ShowcardGothic-Reg" w:hAnsi="ShowcardGothic-Reg" w:cs="ShowcardGothic-Reg"/>
          <w:sz w:val="38"/>
          <w:szCs w:val="38"/>
        </w:rPr>
        <w:t xml:space="preserve"> (Questioning the Author)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Some</w:t>
      </w:r>
      <w:r w:rsidRPr="00935DFE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researchers developed a process called “Questioning the Author” (</w:t>
      </w:r>
      <w:proofErr w:type="spellStart"/>
      <w:r>
        <w:rPr>
          <w:rFonts w:ascii="BookAntiqua" w:hAnsi="BookAntiqua" w:cs="BookAntiqua"/>
          <w:sz w:val="24"/>
          <w:szCs w:val="24"/>
        </w:rPr>
        <w:t>QtA</w:t>
      </w:r>
      <w:proofErr w:type="spellEnd"/>
      <w:r>
        <w:rPr>
          <w:rFonts w:ascii="BookAntiqua" w:hAnsi="BookAntiqua" w:cs="BookAntiqua"/>
          <w:sz w:val="24"/>
          <w:szCs w:val="24"/>
        </w:rPr>
        <w:t>) in which the reader is encouraged to carry on a conversation with the author while reading a selection. This helps readers relate information from different parts of the text and make connections with their prior knowledge. Some of these “author questions” that students might ask are listed below: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What is the author trying to say here? What does the author mean here?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What is the author’s message?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What is the author talking about?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Does the author explain this clearly?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Does this make sense with what the author told us before?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How does this connect to what the author told us here?</w:t>
      </w:r>
    </w:p>
    <w:p w:rsidR="00581D4C" w:rsidRDefault="00581D4C" w:rsidP="00581D4C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Does the author tell us why?</w:t>
      </w:r>
    </w:p>
    <w:p w:rsidR="00173C0D" w:rsidRDefault="00581D4C">
      <w:bookmarkStart w:id="0" w:name="_GoBack"/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747395</wp:posOffset>
            </wp:positionV>
            <wp:extent cx="1905000" cy="2128520"/>
            <wp:effectExtent l="0" t="0" r="0" b="5080"/>
            <wp:wrapTight wrapText="bothSides">
              <wp:wrapPolygon edited="0">
                <wp:start x="0" y="0"/>
                <wp:lineTo x="0" y="21458"/>
                <wp:lineTo x="21384" y="21458"/>
                <wp:lineTo x="21384" y="0"/>
                <wp:lineTo x="0" y="0"/>
              </wp:wrapPolygon>
            </wp:wrapTight>
            <wp:docPr id="1" name="Picture 1" descr="http://www.vrml.k12.la.us/graphorgan/18strat/strat/ques_auth/gif/j02347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rml.k12.la.us/graphorgan/18strat/strat/ques_auth/gif/j0234752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7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Gothic-Reg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4C"/>
    <w:rsid w:val="00173C0D"/>
    <w:rsid w:val="0058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google.ca/url?sa=i&amp;rct=j&amp;q=&amp;esrc=s&amp;frm=1&amp;source=images&amp;cd=&amp;cad=rja&amp;docid=GsBN5j5FUZA58M&amp;tbnid=zXv0FmJxfyglNM:&amp;ved=0CAUQjRw&amp;url=http%3A%2F%2Fwww.vrml.k12.la.us%2Fgraphorgan%2F18strat%2Fstrat%2Fques_auth%2Fquest_auth.htm&amp;ei=WXVLUfyBLYrryAGp7YHIBg&amp;psig=AFQjCNEAFUiCljtf0K6aNiqhCAaGOzzrFg&amp;ust=13639861239762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2013-03-21T20:58:00Z</dcterms:created>
  <dcterms:modified xsi:type="dcterms:W3CDTF">2013-03-21T21:03:00Z</dcterms:modified>
</cp:coreProperties>
</file>